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KonWO (Nordrhein-Westfalen) — Inkrafttreten, Außerkrafttreten</w:t>
      </w:r>
    </w:p>
    <w:p>
      <w:r>
        <w:rPr>
          <w:color w:val="555555"/>
          <w:sz w:val="18"/>
        </w:rPr>
        <w:t xml:space="preserve">Konstituierungswahlordnung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 und mit Ablauf der Wahlperiode der ersten Kammerversammlung außer Kraft. Der Tag des Außerkrafttretens ist im Gesetz- und Verordnungsblatt bekannt zu machen.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31 KonWO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https://recht.nulegal.eu/gesetze/KonWO/31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