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KonWO (Nordrhein-Westfalen) — Behandlung der Wahlunterlagen</w:t>
      </w:r>
    </w:p>
    <w:p>
      <w:r>
        <w:rPr>
          <w:color w:val="555555"/>
          <w:sz w:val="18"/>
        </w:rPr>
        <w:t xml:space="preserve">Konstituierungswahlordnung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Wahlausschuss oder von ihm beauftragte Wahlhelfende sammeln die eingegangenen Wahlunterlagen ungeöffnet mit dem Vermerk des Einganges. Die Wahlunterlagen sind unter Verschluss zu halten.</w:t>
      </w:r>
    </w:p>
    <w:p>
      <w:r>
        <w:t xml:space="preserve">(2) Der Eingang des Rücksendeumschlages ist unter Zuhilfenahme der Nummer der wahlberechtigten Person beziehungsweise des Barcodes der jeweiligen wahlberechtigten Person zu vermerken.</w:t>
      </w:r>
    </w:p>
    <w:p>
      <w:r>
        <w:rPr>
          <w:color w:val="555555"/>
          <w:sz w:val="17"/>
        </w:rPr>
        <w:t xml:space="preserve">Zitiervorschlag: § 19 KonWO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https://recht.nulegal.eu/gesetze/KonWO/19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