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KonWO (Nordrhein-Westfalen) — Zusendung der Wahlunterlagen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Wahlleitung übersendet allen im Wählerverzeichnis geführten Wahlberechtigten an deren Privatanschrift</w:t>
      </w:r>
    </w:p>
    <w:p>
      <w:r>
        <w:t xml:space="preserve">1. einen Stimmzettel,</w:t>
      </w:r>
    </w:p>
    <w:p>
      <w:r>
        <w:t xml:space="preserve">2. einen verschließbaren Stimmzettelumschlag für den Stimmzettel mit dem Aufdruck ,,Stimmzettelumschlag",</w:t>
      </w:r>
    </w:p>
    <w:p>
      <w:r>
        <w:t xml:space="preserve">3. einen freigemachten verschließbaren Rücksendeumschlag (Wahlbriefumschlag) mit der Nummer, unter der die wahlberechtigte Person im Wählerverzeichnis eingetragen ist sowie eines Barcodes,</w:t>
      </w:r>
    </w:p>
    <w:p>
      <w:r>
        <w:t xml:space="preserve">4. die Wahlunterlagen zur Durchführung der elektronischen Wahl,</w:t>
      </w:r>
    </w:p>
    <w:p>
      <w:r>
        <w:t xml:space="preserve">5. ein Merkblatt mit sachdienlichem Hinweis und</w:t>
      </w:r>
    </w:p>
    <w:p>
      <w:r>
        <w:t xml:space="preserve">6. die Bekanntgabe der Wahl nach § 13.</w:t>
      </w:r>
    </w:p>
    <w:p>
      <w:r>
        <w:t xml:space="preserve">Ein Barcode zur Identifizierung der Wählernummer ist zulässig. Die Versendung der Wahlunterlagen ist zu vermerken.</w:t>
      </w:r>
    </w:p>
    <w:p>
      <w:r>
        <w:rPr>
          <w:color w:val="555555"/>
          <w:sz w:val="17"/>
        </w:rPr>
        <w:t xml:space="preserve">Zitiervorschlag: § 15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