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KomtrZV</w:t>
      </w:r>
    </w:p>
    <w:p>
      <w:r>
        <w:rPr>
          <w:color w:val="555555"/>
          <w:sz w:val="18"/>
        </w:rPr>
        <w:t xml:space="preserve">Kommunalträger-Zulassungsverordnung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6a Abs. 2 des Zweiten Buches Sozialgesetzbuch - Grundsicherung für Arbeitsuchende - (Artikel 1 des Gesetzes vom 24. Dezember 2003, BGBl. I S. 2954, 2955), der durch Artikel 1 Nr. 5 des Gesetzes vom 30. Juli 2004 (BGBl. I S. 2014) eingefügt worden ist, verordnet das Bundesministerium für Wirtschaft und Arbeit:</w:t>
      </w:r>
    </w:p>
    <w:p>
      <w:r>
        <w:rPr>
          <w:color w:val="555555"/>
          <w:sz w:val="17"/>
        </w:rPr>
        <w:t xml:space="preserve">Zitiervorschlag: Eingangsformel KomtrZV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https://recht.nulegal.eu/gesetze/KomtrZV/eingangsformel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