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KomtrZV — Inkrafttreten, Außerkrafttreten</w:t>
      </w:r>
    </w:p>
    <w:p>
      <w:r>
        <w:rPr>
          <w:color w:val="555555"/>
          <w:sz w:val="18"/>
        </w:rPr>
        <w:t xml:space="preserve">Kommunalträger-Zulassungsverordnung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KomtrZV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https://recht.nulegal.eu/gesetze/KomtrZV/2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