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KommZG (Bayern) — Besondere Arbeitsgemeinschaften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Es kann vereinbart werden, daß die Beteiligten an Beschlüsse der Arbeitsgemeinschaft gebunden sind, wenn die zuständigen Organe aller Beteiligten diesen Beschlüssen zugestimmt haben. Ferner kann vereinbart werden, daß die Beteiligten an Beschlüsse über Angelegenheiten der Geschäftsführung und des Finanzbedarfs, Verfahrensfragen und den Erlaß von Richtlinien für die Planung und Durchführung einzelner Aufgaben gebunden sind, wenn die Mehrheit der zuständigen Organe der beteiligten Gebietskörperschaften diesen Beschlüssen zugestimmt hat.</w:t>
      </w:r>
    </w:p>
    <w:p>
      <w:r>
        <w:t xml:space="preserve">(2) Es kann vereinbart werden, daß die zuständigen Organe der Beteiligten verpflichtet sind, binnen drei Monaten über Anregungen der Arbeitsgemeinschaft zu beschließen; in der Vereinbarung kann eine andere Frist festgelegt werden.</w:t>
      </w:r>
    </w:p>
    <w:p>
      <w:r>
        <w:rPr>
          <w:color w:val="555555"/>
          <w:sz w:val="17"/>
        </w:rPr>
        <w:t xml:space="preserve">Zitiervorschlag: Art 5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