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KommZG (Bayern) — Wegfall von Verbandsmitgliedern</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eine Körperschaft des öffentlichen Rechts, die Verbandsmitglied ist, in eine andere Körperschaft eingegliedert oder mit einer anderen zusammengeschlossen, so tritt die Körperschaft des öffentlichen Rechts, in die das Verbandsmitglied eingegliedert oder zu der es zusammengeschlossen wird, an die Stelle des früheren Verbandsmitglieds. Das gleiche gilt, wenn eine Körperschaft auf mehrere andere Körperschaften aufgeteilt wird oder wenn ihre Aufgaben und Befugnisse auf eine oder mehrere andere Körperschaften übergehen.</w:t>
      </w:r>
    </w:p>
    <w:p>
      <w:r>
        <w:t xml:space="preserve">(2) Der Zweckverband kann bis zum Ablauf von drei Monaten nach dem Wirksamwerden der Änderung die neue Körperschaft mit einfacher Mehrheit der satzungsmäßigen Stimmenzahl ausschließen. Im gleichen Zeitraum kann die Körperschaft ihren Austritt aus dem Zweckverband einseitig erklären.</w:t>
      </w:r>
    </w:p>
    <w:p>
      <w:r>
        <w:t xml:space="preserve">(3) Die Absätze 1 und 2 gelten für andere Verbandsmitglieder entsprechend.</w:t>
      </w:r>
    </w:p>
    <w:p>
      <w:r>
        <w:rPr>
          <w:color w:val="555555"/>
          <w:sz w:val="17"/>
        </w:rPr>
        <w:t xml:space="preserve">Zitiervorschlag: Art 45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