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KommZG (Bayern) — Haushaltssatzung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oder der Verbandsvorsitzende gibt den Entwurf der Haushaltssatzung rechtzeitig, jedoch mindestens einen Monat vor dem Beschluß über die Haushaltssatzung, den Verbandsmitgliedern bekannt.</w:t>
      </w:r>
    </w:p>
    <w:p>
      <w:r>
        <w:t xml:space="preserve">(2) Die Verbandsversammlung kann beschließen, daß eine Finanzplanung nicht erstellt wird.</w:t>
      </w:r>
    </w:p>
    <w:p>
      <w:r>
        <w:rPr>
          <w:color w:val="555555"/>
          <w:sz w:val="17"/>
        </w:rPr>
        <w:t xml:space="preserve">Zitiervorschlag: Art 41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