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KommZG (Bayern) — Anzuwendende Vorschriften</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nicht dieses Gesetz etwas anderes vorschreibt, gelten für die Verbandswirtschaft die Vorschriften über die Gemeindewirtschaft oder nach Art. 26 Abs. 1 Satz 2 oder Satz 3 die Vorschriften über die Landkreiswirtschaft oder die Bezirkswirtschaft entsprechend. Die Verbandssatzung kann vorschreiben, daß die Aufgaben eines Werkausschusses von der Verbandsversammlung und die Aufgaben einer Werkleitung von der oder dem Verbandsvorsitzenden oder vom Geschäftsleiter wahrgenommen werden.</w:t>
      </w:r>
    </w:p>
    <w:p>
      <w:r>
        <w:t xml:space="preserve">(2) Ist Hauptaufgabe des Zweckverbands der Betrieb eines Unternehmens, das nach den Vorschriften der Eigenbetriebsverordnung geführt wird, kann die Verbandssatzung vorschreiben, daß diese Vorschriften auch auf die Haushaltswirtschaft, die Vermögenswirtschaft sowie das Kassen- und Rechnungswesen des Zweckverbands selbst anzuwenden sind. In diesem Fall ist durch die Haushaltssatzung der Wirtschaftsplan an Stelle des Haushaltsplans festzusetzen.</w:t>
      </w:r>
    </w:p>
    <w:p>
      <w:r>
        <w:t xml:space="preserve">(3) Ist Hauptaufgabe eines Zweckverbands der Betrieb eines Krankenhauses, das nach den Vorschriften der Krankenhaus-Buchführungsverordnung sowie der Verordnung über die Wirtschaftsführung der kommunalen Krankenhäuser zu führen ist, kann die Verbandssatzung vorschreiben, daß für die Verbandswirtschaft diese Vorschriften entsprechend gelten. Absatz 2 Satz 2 findet Anwendung.</w:t>
      </w:r>
    </w:p>
    <w:p>
      <w:r>
        <w:rPr>
          <w:color w:val="555555"/>
          <w:sz w:val="17"/>
        </w:rPr>
        <w:t xml:space="preserve">Zitiervorschlag: Art 40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