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KommZG (Bayern) — Einberufung der Verbandsversammlung, Öffentlichkeit</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wird durch die Verbandsvorsitzende oder den Verbandsvorsitzenden schriftlich oder elektronisch einberufen. Ist noch keine Verbandsvorsitzende oder kein Verbandsvorsitzender gewählt oder durch die Verbandssatzung bestimmt und enthält die Verbandssatzung keine Regelung über die Einberufung in diesem Fall, beruft die Aufsichtsbehörde die Verbandsversammlung schriftlich oder elektronisch ein. Die Einladung muß Tagungszeit und -ort und die Beratungsgegenstände angeben und den Verbandsrätinnen und Verbandsräten spätestens eine Woche vor der Sitzung zugehen. In dringenden Fällen kann die oder der Verbandsvorsitzende die Frist bis auf 24 Stunden abkürzen.</w:t>
      </w:r>
    </w:p>
    <w:p>
      <w:r>
        <w:t xml:space="preserve">(2) Die Verbandsversammlung ist jährlich mindestens einmal einzuberufen. Sie muß außerdem einberufen werden, wenn es ein Drittel der Verbandsrätinnen und Verbandsräte unter Angabe der Beratungsgegenstände beantragt. Die Verbandssatzung kann den Antrag einer anderen Zahl von Verbandsrätinnen und Verbandsräten oder weitere Antragsberechtigte vorsehen.</w:t>
      </w:r>
    </w:p>
    <w:p>
      <w:r>
        <w:t xml:space="preserve">(3) Die Vertreter der Aufsichtsbehörden haben das Recht, an der Verbandsversammlung teilzunehmen. Auf Antrag ist ihnen das Wort zu erteilen.</w:t>
      </w:r>
    </w:p>
    <w:p>
      <w:r>
        <w:t xml:space="preserve">(4) Die Vorschriften der Gemeindeordnung über die Öffentlichkeit gelten entsprechend, soweit nicht nach Maßgabe von Art. 26 Abs. 1 Sätze 2 und 3 die Vorschriften für die Landkreise oder die Bezirke anzuwenden sind.</w:t>
      </w:r>
    </w:p>
    <w:p>
      <w:r>
        <w:rPr>
          <w:color w:val="555555"/>
          <w:sz w:val="17"/>
        </w:rPr>
        <w:t xml:space="preserve">Zitiervorschlag: Art 32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