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KommZG (Bayern) — Rechtsstellung der Verbandsvorsitzenden sowie der übrigen Verbandsrätinnen und Verbandsräte</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Verbandsvorsitzende, ihre Stellvertretung und die übrigen Mitglieder der Verbandsversammlung (Verbandsrätinnen und Verbandsräte) sind ehrenamtlich tätig.</w:t>
      </w:r>
    </w:p>
    <w:p>
      <w:r>
        <w:t xml:space="preserve">(2) Der Zweckverband entschädigt die Verbandsrätinnen und Verbandsräte entsprechend den Vorschriften der Gemeindeordnung (GO) über die Entschädigung ehrenamtlich tätiger Gemeindebürgerinnen und Gemeindebürger. Verbandsrätinnen und Verbandsräte gemäß Art. 31 Abs. 2 Satz 1 haben, soweit sie nicht Verbandsvorsitzende, Ausschußvorsitzende oder deren Stellvertreter sind, nur Anspruch auf Ersatz ihrer Auslagen. Art. 20a Abs. 4 GO gilt entsprechend; er gilt nicht für Verbandsrätinnen und Verbandsräte kraft Amtes, die kommunale Wahlbeamtinnen oder kommunale Wahlbeamte auf Zeit sind; für sie gelten die Ablieferungsregelungen nach dem beamtenrechtlichen Nebentätigkeitsrecht.</w:t>
      </w:r>
    </w:p>
    <w:p>
      <w:r>
        <w:t xml:space="preserve">(3) Die wählbaren Bürgerinnen und Bürger jener Gemeinden, Landkreise und Bezirke, die Verbandsmitglieder sind, können die Übernahme oder die weitere Ausübung des Amts einer Verbandsrätin oder eines Verbandsrats nur aus wichtigen Gründen ablehnen. Als wichtiger Grund ist es insbesondere anzusehen, wenn die Verpflichteten durch ihr Alter, ihre Berufs- oder Familienverhältnisse, ihren Gesundheitszustand oder sonstige in ihrer Person liegende Umstände an der Übernahme oder weiteren Ausübung des Amts verhindert sind. Ob ein wichtiger Grund vorliegt, entscheidet die Gebietskörperschaft, die die Verbandsrätin oder den Verbandsrat bestellt.</w:t>
      </w:r>
    </w:p>
    <w:p>
      <w:r>
        <w:t xml:space="preserve">(4) Verbandsrätinnen und Verbandsräte können nicht sein:</w:t>
      </w:r>
    </w:p>
    <w:p>
      <w:r>
        <w:t xml:space="preserve">1. Beamtinnen und Beamte sowie Arbeitnehmerinnen und Arbeitnehmer des Zweckverbands,</w:t>
      </w:r>
    </w:p>
    <w:p>
      <w:r>
        <w:t xml:space="preserve">2. leitende Beamtinnen und Beamte sowie leitende Arbeitnehmerinnen und Arbeitnehmer von juristischen Personen oder sonstigen Organisationen des öffentlichen oder privaten Rechts, an denen der Zweckverband mit mehr als 50 % beteiligt ist; eine Beteiligung am Stimmrecht genügt,</w:t>
      </w:r>
    </w:p>
    <w:p>
      <w:r>
        <w:t xml:space="preserve">3. Beamtinnen und Beamte sowie Arbeitnehmerinnen und Arbeitnehmer der Aufsichtsbehörde, die unmittelbar mit Aufgaben der Aufsicht über Zweckverbände befasst sind, ausgenommen die für die Stellvertretung der Landrätin oder des Landrats gewählte Person.</w:t>
      </w:r>
    </w:p>
    <w:p>
      <w:r>
        <w:t xml:space="preserve">Als Arbeitnehmerin oder Arbeitnehmer im Sinn des Satzes 1 gilt nicht, wer überwiegend körperliche Arbeit verrichtet. Satz 1 ist nicht anzuwenden, wenn Beamtinnen oder Beamte während der Dauer des Ehrenamts ohne Dienstbezüge beurlaubt sind, im Rahmen von Altersteilzeit im Blockmodell vollständig vom Dienst freigestellt sind oder wenn ihre Rechte und Pflichten aus dem Dienstverhältnis wegen der Wahl in eine gesetzgebende Körperschaft ruhen; das gilt für Arbeitnehmerinnen und Arbeitnehmer entsprechend.</w:t>
      </w:r>
    </w:p>
    <w:p>
      <w:r>
        <w:rPr>
          <w:color w:val="555555"/>
          <w:sz w:val="17"/>
        </w:rPr>
        <w:t xml:space="preserve">Zitiervorschlag: Art 30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