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KommZG (Bayern) — Voraussetzungen der kommunalen Zusammenarbeit</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Gemeinden, Landkreise und Bezirke können nach den Vorschriften dieses Gesetzes zusammenarbeiten, um Aufgaben, zu deren Wahrnehmung sie berechtigt oder verpflichtet sind, gemeinsam zu erfüllen. Das gilt nicht für Gemeinden, die der gleichen Verwaltungsgemeinschaft angehören, wenn die Verwaltungsgemeinschaft die Aufgabe ebenso wirkungsvoll und wirtschaftlich erfüllen kann.</w:t>
      </w:r>
    </w:p>
    <w:p>
      <w:r>
        <w:t xml:space="preserve">(2) Sieht dieses Gesetz eine Verpflichtung zur Zusammenarbeit vor (Art. 16 und 28), so kann sie nur zwischen Gebietskörperschaften gleicher Art angeordnet werden, ferner zwischen kreisfreien und kreisangehörigen Gemeinden und zwischen Landkreisen und kreisfreien Gemeinden, wenn diese Gebietskörperschaften gleiche Pflichtaufgaben zu erfüllen haben.</w:t>
      </w:r>
    </w:p>
    <w:p>
      <w:r>
        <w:rPr>
          <w:color w:val="555555"/>
          <w:sz w:val="17"/>
        </w:rPr>
        <w:t xml:space="preserve">Zitiervorschlag: Art 3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