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27 KommZG (Bayern) — Ausgleich</w:t>
      </w:r>
    </w:p>
    <w:p>
      <w:r>
        <w:rPr>
          <w:color w:val="555555"/>
          <w:sz w:val="18"/>
        </w:rPr>
        <w:t xml:space="preserve">Gesetz über die kommunale Zusammenarbeit</w:t>
      </w:r>
    </w:p>
    <w:p>
      <w:r>
        <w:rPr>
          <w:color w:val="555555"/>
          <w:sz w:val="18"/>
        </w:rPr>
        <w:t xml:space="preserve">Landesrecht Bayern</w:t>
      </w:r>
    </w:p>
    <w:p>
      <w:r>
        <w:rPr>
          <w:color w:val="555555"/>
          <w:sz w:val="18"/>
        </w:rPr>
        <w:t xml:space="preserve">Stand: 25.08.2026 (konsolidierte Textfassung, kein amtliches Inkrafttretensdatum)</w:t>
      </w:r>
    </w:p>
    <w:p>
      <w:r>
        <w:t xml:space="preserve">(1) Neben der Verbandssatzung können die Beteiligten Abmachungen über den Ausgleich von Vorteilen und Nachteilen treffen, die sich aus der Bildung des Zweckverbands ergeben. Entsprechendes gilt für den Ausgleich von Vor- und Nachteilen aus der Tätigkeit des Zweckverbands, wenn eine Regelung in der Verbandssatzung oder durch die Festsetzung der Verbandsumlage nicht möglich oder nicht zweckmäßig ist. Die Abmachungen sind der Aufsichtsbehörde anzuzeigen.</w:t>
      </w:r>
    </w:p>
    <w:p>
      <w:r>
        <w:t xml:space="preserve">(2) Auf Antrag sämtlicher Beteiligter, für die ein Ausgleich in Betracht kommt, regelt die Aufsichtsbehörde diesen Ausgleich. Für einen Pflichtverband kann die Aufsichtsbehörde den Ausgleich auch dann regeln, wenn sie einen solchen für erforderlich hält und die betroffenen Beteiligten sich nicht innerhalb einer von der Aufsichtsbehörde gesetzten angemessenen Frist einigen.</w:t>
      </w:r>
    </w:p>
    <w:p>
      <w:r>
        <w:rPr>
          <w:color w:val="555555"/>
          <w:sz w:val="17"/>
        </w:rPr>
        <w:t xml:space="preserve">Zitiervorschlag: Art 27 KommZG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https://recht.nulegal.eu/gesetze/KommZG/27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