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KommZG (Bayern) — Anzuwendende Vorschriften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dieses Gesetz oder in seinem Rahmen die Verbandssatzung besondere Vorschriften enthalten, sind auf den Zweckverband die für Gemeinden geltenden Vorschriften entsprechend anzuwenden. Gehören einem Zweckverband als kommunale Gebietskörperschaft nur Landkreise oder nur Landkreise und Bezirke an, so sind die für Landkreise, gehören ihm nur Bezirke an, so sind die für Bezirke geltenden Vorschriften entsprechend anzuwenden. Die Verbandssatzung kann mit Genehmigung der Aufsichtsbehörde vorschreiben, daß abweichend von den Sätzen 1 und 2 die Vorschriften entsprechend anzuwenden sind, die für andere dem Zweckverband angehörende Gebietskörperschaften gelten.</w:t>
      </w:r>
    </w:p>
    <w:p>
      <w:r>
        <w:t xml:space="preserve">(2) In Satzungen des Zweckverbands können Zuwiderhandlungen als Ordnungswidrigkeiten mit Geldbuße bedroht werden, soweit das nach den Vorschriften, die gemäß Absatz 1 entsprechend anwendbar sind, zulässig ist (bewehrte Satzungen).</w:t>
      </w:r>
    </w:p>
    <w:p>
      <w:r>
        <w:t xml:space="preserve">(3) Für die Voraussetzungen und das Verfahren zum Erlaß von Verordnungen, deren Übertretung mit Strafe oder als Ordnungswidrigkeit mit Geldbuße bedroht ist, gelten die Vorschriften des Landesstraf- und Verordnungsgesetzes entsprechend; Art. 24 bleibt unberührt.</w:t>
      </w:r>
    </w:p>
    <w:p>
      <w:r>
        <w:t xml:space="preserve">(4) Verordnungen, zu deren Erlaß die Zweckverbände ermächtigt sind, werden von der Verbandsversammlung, dringliche Verordnungen vom Verbandsvorsitzenden, als Verbandsverordnung erlassen.</w:t>
      </w:r>
    </w:p>
    <w:p>
      <w:r>
        <w:rPr>
          <w:color w:val="555555"/>
          <w:sz w:val="17"/>
        </w:rPr>
        <w:t xml:space="preserve">Zitiervorschlag: Art 26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