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 KommZG (Bayern) — Wappenführung</w:t>
      </w:r>
    </w:p>
    <w:p>
      <w:r>
        <w:rPr>
          <w:color w:val="555555"/>
          <w:sz w:val="18"/>
        </w:rPr>
        <w:t xml:space="preserve">Gesetz über die kommunale Zusammenarbeit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Zweckverband führt weder Fahne noch eigenes Wappen. Mit Zustimmung eines Verbandsmitglieds kann er dessen Wappen führen. Die Führung des kleinen Staatswappens regelt sich nach den hierfür geltenden besonderen Vorschriften.</w:t>
      </w:r>
    </w:p>
    <w:p>
      <w:r>
        <w:rPr>
          <w:color w:val="555555"/>
          <w:sz w:val="17"/>
        </w:rPr>
        <w:t xml:space="preserve">Zitiervorschlag: Art 25 KommZG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https://recht.nulegal.eu/gesetze/KommZG/25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