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KommZG (Bayern) — Genehmigung der Verbandssatzung</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Verbandssatzung bedarf der Genehmigung der Aufsichtsbehörde. Die Genehmigung kann nur versagt werden, wenn der Bildung des Zweckverbands Gründe des öffentlichen Wohls entgegenstehen, die Bildung des Verbands unzulässig ist oder die Satzung den gesetzlichen Vorschriften nicht entspricht. Sollen durch den Zweckverband Aufgaben des übertragenen Wirkungskreises wahrgenommen werden, so entscheidet die Aufsichtsbehörde nach Anhörung der Fachaufsichtsbehörde über die Genehmigung nach pflichtgemäßem Ermessen. Äußert sich die Fachaufsichtsbehörde nicht binnen eines Monats nach Eingang der Anfrage, kann die Aufsichtsbehörde davon ausgehen, dass die von der Fachaufsichtsbehörde zu vertretenden Belange von der Bildung des Zweckverbands nicht berührt werden.</w:t>
      </w:r>
    </w:p>
    <w:p>
      <w:r>
        <w:t xml:space="preserve">(2) Ist für die Übernahme oder Durchführung einer Aufgabe, für die der Zweckverband gebildet werden soll, eine besondere Genehmigung erforderlich, so kann die Verbandssatzung nicht genehmigt werden, wenn zu erwarten ist, daß die besondere Genehmigung versagt wird.</w:t>
      </w:r>
    </w:p>
    <w:p>
      <w:r>
        <w:rPr>
          <w:color w:val="555555"/>
          <w:sz w:val="17"/>
        </w:rPr>
        <w:t xml:space="preserve">Zitiervorschlag: Art 20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