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KommZG (Bayern) — Pflichtvereinbarung</w:t>
      </w:r>
    </w:p>
    <w:p>
      <w:r>
        <w:rPr>
          <w:color w:val="555555"/>
          <w:sz w:val="18"/>
        </w:rPr>
        <w:t xml:space="preserve">Gesetz über die kommunale Zusammenarbeit</w:t>
      </w:r>
    </w:p>
    <w:p>
      <w:r>
        <w:rPr>
          <w:color w:val="555555"/>
          <w:sz w:val="18"/>
        </w:rPr>
        <w:t xml:space="preserve">Landesrecht Bayern</w:t>
      </w:r>
    </w:p>
    <w:p>
      <w:r>
        <w:rPr>
          <w:color w:val="555555"/>
          <w:sz w:val="18"/>
        </w:rPr>
        <w:t xml:space="preserve">Stand: 25.08.2026 (konsolidierte Textfassung, kein amtliches Inkrafttretensdatum)</w:t>
      </w:r>
    </w:p>
    <w:p>
      <w:r>
        <w:t xml:space="preserve">(1) Ist der Abschluß einer Zweckvereinbarung zur Erfüllung von Pflichtaufgaben einer Gebietskörperschaft aus zwingenden Gründen des öffentlichen Wohls geboten, so kann die Aufsichtsbehörde den beteiligten Gebietskörperschaften eine angemessene Frist setzen, die Zweckvereinbarung zu schließen.</w:t>
      </w:r>
    </w:p>
    <w:p>
      <w:r>
        <w:t xml:space="preserve">(2) Kommt innerhalb der Frist die Zweckvereinbarung nicht zustande, so trifft die Aufsichtsbehörde eine Regelung, die wie eine Vereinbarung zwischen den Beteiligten gilt (Pflichtvereinbarung). Ehe die Aufsichtsbehörde hierüber entscheidet, muß sie den beteiligten Gebietskörperschaften Gelegenheit geben, ihre Auffassung darzulegen. Die Erörterung kann in einer gemeinsamen Besprechung nach Art. 9 Abs. 2 Satz 2 stattfinden.</w:t>
      </w:r>
    </w:p>
    <w:p>
      <w:r>
        <w:t xml:space="preserve">(3) Die Art. 8, 10, 11 und 13 bis 15 gelten entsprechend. Die Pflichtvereinbarung kann jedoch von den Beteiligten nur mit Genehmigung der Aufsichtsbehörde geändert werden. Für die Genehmigung gelten Art. 12 Abs. 2 Sätze 2 und 3 und Abs. 3 entsprechend.</w:t>
      </w:r>
    </w:p>
    <w:p>
      <w:r>
        <w:t xml:space="preserve">(4) Die Beteiligten können eine Pflichtvereinbarung nicht von sich aus aufheben. Sind die Gründe für eine Pflichtvereinbarung weggefallen, so hat die Aufsichtsbehörde das den Beteiligten mitzuteilen. Die Pflichtvereinbarung gilt in diesem Fall als einfache Zweckvereinbarung weiter; sie kann von jedem Beteiligten innerhalb einer Frist von sechs Monaten seit dem Zugang der Mitteilung gekündigt werden.</w:t>
      </w:r>
    </w:p>
    <w:p>
      <w:r>
        <w:rPr>
          <w:color w:val="555555"/>
          <w:sz w:val="17"/>
        </w:rPr>
        <w:t xml:space="preserve">Zitiervorschlag: Art 16 KommZG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https://recht.nulegal.eu/gesetze/KommZG/16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