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KommZG (Bayern) — Wegfall von Beteiligten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Gebietskörperschaft, die an einer Zweckvereinbarung beteiligt ist, in eine andere Gebietskörperschaft eingegliedert oder mit einer anderen zusammengeschlossen, so tritt die Gebietskörperschaft, in welche die an der Zweckvereinbarung beteiligte Körperschaft eingegliedert oder zu der sie zusammengeschlossen wird, an die Stelle der früheren. Das gleiche gilt, wenn eine Gebietskörperschaft auf mehrere andere aufgeteilt wird oder wenn ihre Aufgaben oder Befugnisse, die Gegenstand der Zweckvereinbarung sind, auf eine oder mehrere andere Gebietskörperschaften übergehen.</w:t>
      </w:r>
    </w:p>
    <w:p>
      <w:r>
        <w:t xml:space="preserve">(2) Wenn Gründe des öffentlichen Wohls nicht entgegenstehen, kann jeder Beteiligte die Zweckvereinbarung bis zum Ablauf von drei Monaten nach dem Eintritt der neuen Körperschaft kündigen. Die Art. 13 und 14 Abs. 1 und 2 gelten entsprechend.</w:t>
      </w:r>
    </w:p>
    <w:p>
      <w:r>
        <w:rPr>
          <w:color w:val="555555"/>
          <w:sz w:val="17"/>
        </w:rPr>
        <w:t xml:space="preserve">Zitiervorschlag: Art 15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