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KommZG (Bayern) — Satzungs- und Verordnungsrecht</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Zweckvereinbarung kann der Gebietskörperschaft, auf die Aufgaben übergehen, das Recht übertragen werden, zur Erfüllung dieser Aufgaben Satzungen und Verordnungen auch für das Gebiet der übrigen Beteiligten zu erlassen. Bereits geltende Satzungen und Verordnungen der Gebietskörperschaft können auch durch die Zweckvereinbarung auf dieses Gebiet erstreckt werden; sie sind in der Zweckvereinbarung unter Angabe ihrer Fundstelle genau zu bezeichnen. Die übrigen Beteiligten haben in der für die Bekanntmachung ihrer Satzungen vorgesehenen Form auf die Veröffentlichung der Satzungen oder Verordnungen hinzuweisen.</w:t>
      </w:r>
    </w:p>
    <w:p>
      <w:r>
        <w:t xml:space="preserve">(2) In den Fällen des Absatzes 1 kann in der Zweckvereinbarung bestimmt werden, daß die Gebietskörperschaft im Geltungsbereich der von ihr erlassenen Satzungen oder Verordnungen alle zu deren Durchführung erforderlichen Maßnahmen wie im eigenen Gebiet treffen kann.</w:t>
      </w:r>
    </w:p>
    <w:p>
      <w:r>
        <w:rPr>
          <w:color w:val="555555"/>
          <w:sz w:val="17"/>
        </w:rPr>
        <w:t xml:space="preserve">Zitiervorschlag: Art 11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