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KommZG (Bayern) — Inhalt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Zweckvereinbarung muß die Aufgaben aufführen, die einer der beteiligten Gebietskörperschaften übertragen oder die gemeinschaftlich durchgeführt werden sollen.</w:t>
      </w:r>
    </w:p>
    <w:p>
      <w:r>
        <w:t xml:space="preserve">(2) Werden Aufgaben übertragen, so kann den übrigen Beteiligten durch die Zweckvereinbarung das Recht auf Anhörung oder Zustimmung in bestimmten Angelegenheiten eingeräumt werden.</w:t>
      </w:r>
    </w:p>
    <w:p>
      <w:r>
        <w:t xml:space="preserve">(3) In der Zweckvereinbarung kann ein angemessener Kostenersatz für die Erfüllung der übertragenen Aufgaben vorgesehen werden; er darf höchstens so bemessen sein, daß der nach den Grundsätzen einer ordnungsgemäßen Wirtschaftsführung berechnete Aufwand gedeckt wird.</w:t>
      </w:r>
    </w:p>
    <w:p>
      <w:r>
        <w:t xml:space="preserve">(4) Werden Aufgaben gemeinschaftlich durchgeführt, so muß die Zweckvereinbarung bestimmen, nach welchem Maßstab der Aufwand unter die Beteiligten verteilt wird.</w:t>
      </w:r>
    </w:p>
    <w:p>
      <w:r>
        <w:rPr>
          <w:color w:val="555555"/>
          <w:sz w:val="17"/>
        </w:rPr>
        <w:t xml:space="preserve">Zitiervorschlag: Art 10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