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KommStatVO (Sachsen)</w:t>
      </w:r>
    </w:p>
    <w:p>
      <w:r>
        <w:rPr>
          <w:color w:val="555555"/>
          <w:sz w:val="18"/>
        </w:rPr>
        <w:t xml:space="preserve">Verordnung des Sächsischen Staatsministeriums des Innern zum Einsatz von Datenverarbeitungsanlagen in kommunalen Statistikstellen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9 Abs. 2 Satz 2 des Sächsischen Statistikgesetzes (SächsStatG) vom 17. Mai 1993 (SächsGVBl. S. 453) wird verordnet:</w:t>
      </w:r>
    </w:p>
    <w:p>
      <w:r>
        <w:rPr>
          <w:color w:val="555555"/>
          <w:sz w:val="17"/>
        </w:rPr>
        <w:t xml:space="preserve">Zitiervorschlag: Eingangsformel KommStatVO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https://recht.nulegal.eu/gesetze/KommStatVO/eingangsformel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