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KommRRefG (Brandenburg) — Inkrafttreten, Außerkrafttreten</w:t>
      </w:r>
    </w:p>
    <w:p>
      <w:r>
        <w:rPr>
          <w:color w:val="555555"/>
          <w:sz w:val="18"/>
        </w:rPr>
        <w:t xml:space="preserve">Kommunalrechtsreformgesetz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Artikel 1 tritt</w:t>
      </w:r>
    </w:p>
    <w:p>
      <w:r>
        <w:t xml:space="preserve">am Tage der nächsten landesweiten Kommunalwahlen in Kraft. Abweichend von Satz 1</w:t>
      </w:r>
    </w:p>
    <w:p>
      <w:r>
        <w:t xml:space="preserve">treten die §§ 63 bis 90, 101 bis 111 und 141 Abs. 17 bis 20 des Artikels 1 am 1.</w:t>
      </w:r>
    </w:p>
    <w:p>
      <w:r>
        <w:t xml:space="preserve">Januar 2008 in Kraft; abweichend von Satz 1 treten ferner die §§ 131 und 140 des</w:t>
      </w:r>
    </w:p>
    <w:p>
      <w:r>
        <w:t xml:space="preserve">Artikels 1, soweit in diesen die §§ 63 bis 90 und 101 bis 111 des Artikels 1 für</w:t>
      </w:r>
    </w:p>
    <w:p>
      <w:r>
        <w:t xml:space="preserve">anwendbar erklärt werden, am 1. Januar 2008 in Kraft. §§ 126 bis 128 des</w:t>
      </w:r>
    </w:p>
    <w:p>
      <w:r>
        <w:t xml:space="preserve">Artikels 1 treten am 31. Dezember 2017 außer Kraft. Die Gemeindeordnung für das</w:t>
      </w:r>
    </w:p>
    <w:p>
      <w:r>
        <w:t xml:space="preserve">Land Brandenburg in der Fassung der Bekanntmachung vom 10. Oktober 2001 (GVBl. I</w:t>
      </w:r>
    </w:p>
    <w:p>
      <w:r>
        <w:t xml:space="preserve">S. 154), zuletzt geändert durch Artikel 15 des Gesetzes vom 28. Juni 2006 (GVBl.</w:t>
      </w:r>
    </w:p>
    <w:p>
      <w:r>
        <w:t xml:space="preserve">I S. 74, 86), die Amtsordnung für das Land Brandenburg in der Fassung der</w:t>
      </w:r>
    </w:p>
    <w:p>
      <w:r>
        <w:t xml:space="preserve">Bekanntmachung vom 10. Oktober 2001 (GVBl. I S. 188), zuletzt geändert durch</w:t>
      </w:r>
    </w:p>
    <w:p>
      <w:r>
        <w:t xml:space="preserve">Artikel 3 Nr. 4 des Gesetzes vom 20. April 2006 (GVBl. I S. 46, 47), und die</w:t>
      </w:r>
    </w:p>
    <w:p>
      <w:r>
        <w:t xml:space="preserve">Landkreisordnung für das Land Brandenburg vom 15. Oktober 1993 (GVBl. I S. 398,</w:t>
      </w:r>
    </w:p>
    <w:p>
      <w:r>
        <w:t xml:space="preserve">433), zuletzt geändert durch Artikel 2 des Gesetzes vom 22. Juni 2005 (GVBl. I</w:t>
      </w:r>
    </w:p>
    <w:p>
      <w:r>
        <w:t xml:space="preserve">S. 210), treten am Tage der nächsten landesweiten Kommunalwahlen außer Kraft,</w:t>
      </w:r>
    </w:p>
    <w:p>
      <w:r>
        <w:t xml:space="preserve">soweit in den Absätzen 2 bis 7 nichts Abweichendes bestimmt ist.</w:t>
      </w:r>
    </w:p>
    <w:p>
      <w:r>
        <w:t xml:space="preserve">(2) Die §§ 94a und</w:t>
      </w:r>
    </w:p>
    <w:p>
      <w:r>
        <w:t xml:space="preserve">105 Abs. 3 der Gemeindeordnung treten am 31. Dezember 2007 außer Kraft.</w:t>
      </w:r>
    </w:p>
    <w:p>
      <w:r>
        <w:t xml:space="preserve">(3) Für Gemeinden,</w:t>
      </w:r>
    </w:p>
    <w:p>
      <w:r>
        <w:t xml:space="preserve">die ihre Haushaltswirtschaft nach dem 1. Januar 2008 bis längstens 31. Dezember</w:t>
      </w:r>
    </w:p>
    <w:p>
      <w:r>
        <w:t xml:space="preserve">2010 nach den Grundsätzen des kameralen Haushalts-, Kassen- und Rechnungswesen</w:t>
      </w:r>
    </w:p>
    <w:p>
      <w:r>
        <w:t xml:space="preserve">führen, bleiben die Vorschriften der §§ 74 bis 92, 94, 95 und 111 bis 122 der</w:t>
      </w:r>
    </w:p>
    <w:p>
      <w:r>
        <w:t xml:space="preserve">Gemeindeordnung bis zum Beginn des Haushaltsjahres 2011 in Kraft. Sie treten am</w:t>
      </w:r>
    </w:p>
    <w:p>
      <w:r>
        <w:t xml:space="preserve">31. Dezember 2010 außer Kraft.</w:t>
      </w:r>
    </w:p>
    <w:p>
      <w:r>
        <w:t xml:space="preserve">(4) Für</w:t>
      </w:r>
    </w:p>
    <w:p>
      <w:r>
        <w:t xml:space="preserve">Gemeindeverbände, die ihre Haushaltswirtschaft nach dem 1. Januar 2008 bis</w:t>
      </w:r>
    </w:p>
    <w:p>
      <w:r>
        <w:t xml:space="preserve">längstens 31. Dezember 2010 nach den Grundsätzen des kameralen Haushalts-,</w:t>
      </w:r>
    </w:p>
    <w:p>
      <w:r>
        <w:t xml:space="preserve">Kassen- und Rechnungswesen führen, bleiben die Vorschriften der §§ 63 bis 66</w:t>
      </w:r>
    </w:p>
    <w:p>
      <w:r>
        <w:t xml:space="preserve">Abs. 1 der Landkreisordnung bis zum Beginn des Haushaltsjahres 2011 in Kraft.</w:t>
      </w:r>
    </w:p>
    <w:p>
      <w:r>
        <w:t xml:space="preserve">Sie treten am 31. Dezember 2010 außer Kraft.</w:t>
      </w:r>
    </w:p>
    <w:p>
      <w:r>
        <w:t xml:space="preserve">(5) Für Ämter, die</w:t>
      </w:r>
    </w:p>
    <w:p>
      <w:r>
        <w:t xml:space="preserve">ihre Haushaltswirtschaft nach dem 1. Januar 2008 bis längstens 31. Dezember 2010</w:t>
      </w:r>
    </w:p>
    <w:p>
      <w:r>
        <w:t xml:space="preserve">nach den Grundsätzen des kameralen Haushalts-, Kassen- und Rechnungswesen</w:t>
      </w:r>
    </w:p>
    <w:p>
      <w:r>
        <w:t xml:space="preserve">führen, bleiben die Vorschriften der §§ 11, 13 und 14 der Amtsordnung bis zum</w:t>
      </w:r>
    </w:p>
    <w:p>
      <w:r>
        <w:t xml:space="preserve">Beginn des Haushaltsjahres 2011 in Kraft. Sie treten am 31. Dezember 2010 außer</w:t>
      </w:r>
    </w:p>
    <w:p>
      <w:r>
        <w:t xml:space="preserve">Kraft tritt.</w:t>
      </w:r>
    </w:p>
    <w:p>
      <w:r>
        <w:t xml:space="preserve">(6) § 35 Abs. 2 Nr.</w:t>
      </w:r>
    </w:p>
    <w:p>
      <w:r>
        <w:t xml:space="preserve">17 der Gemeindeordnung und § 29 Abs. 2 Nr. 16 der Landkreisordnung treten am 31.</w:t>
      </w:r>
    </w:p>
    <w:p>
      <w:r>
        <w:t xml:space="preserve">Dezember 2010 außer Kraft.</w:t>
      </w:r>
    </w:p>
    <w:p>
      <w:r>
        <w:t xml:space="preserve">(7) Die §§ 93, 113</w:t>
      </w:r>
    </w:p>
    <w:p>
      <w:r>
        <w:t xml:space="preserve">Abs. 1, 114 Abs. 1, 133 Abs. 1 Nr. 1 bis 9 und Abs. 2 der Gemeindeordnung treten</w:t>
      </w:r>
    </w:p>
    <w:p>
      <w:r>
        <w:t xml:space="preserve">am 31. Dezember 2011 außer Kraft.</w:t>
      </w:r>
    </w:p>
    <w:p>
      <w:r>
        <w:t xml:space="preserve">(8) Artikel 2 tritt</w:t>
      </w:r>
    </w:p>
    <w:p>
      <w:r>
        <w:t xml:space="preserve">am 1. März 2008 in Kraft.</w:t>
      </w:r>
    </w:p>
    <w:p>
      <w:r>
        <w:t xml:space="preserve">(9) Artikel 3 tritt</w:t>
      </w:r>
    </w:p>
    <w:p>
      <w:r>
        <w:t xml:space="preserve">am 1. Januar 2008 in Kraft und am 31. Dezember 2013 außer Kraft.</w:t>
      </w:r>
    </w:p>
    <w:p>
      <w:r>
        <w:t xml:space="preserve">(10) Die Verordnung</w:t>
      </w:r>
    </w:p>
    <w:p>
      <w:r>
        <w:t xml:space="preserve">über das Verfahren bei der erstmaligen Bildung sowie bei der Änderung und bei</w:t>
      </w:r>
    </w:p>
    <w:p>
      <w:r>
        <w:t xml:space="preserve">der Auflösung von Ämtern im Land Brandenburg vom 13. Januar 1992 (GVBl. II S.</w:t>
      </w:r>
    </w:p>
    <w:p>
      <w:r>
        <w:t xml:space="preserve">22) wird aufgehoben.</w:t>
      </w:r>
    </w:p>
    <w:p>
      <w:r>
        <w:t xml:space="preserve">Potsdam, den 18.</w:t>
      </w:r>
    </w:p>
    <w:p>
      <w:r>
        <w:t xml:space="preserve">Dezember 2007</w:t>
      </w:r>
    </w:p>
    <w:p>
      <w:r>
        <w:t xml:space="preserve">Der Präsident des</w:t>
      </w:r>
    </w:p>
    <w:p>
      <w:r>
        <w:t xml:space="preserve">Landtages Brandenburg</w:t>
      </w:r>
    </w:p>
    <w:p>
      <w:r>
        <w:t xml:space="preserve">Gunter Fritsch</w:t>
      </w:r>
    </w:p>
    <w:p>
      <w:r>
        <w:rPr>
          <w:color w:val="555555"/>
          <w:sz w:val="17"/>
        </w:rPr>
        <w:t xml:space="preserve">Zitiervorschlag: Art 4 KommRRefG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https://recht.nulegal.eu/gesetze/KommRRefG/4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