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KommPrV (Bayern)</w:t>
      </w:r>
    </w:p>
    <w:p>
      <w:r>
        <w:rPr>
          <w:color w:val="555555"/>
          <w:sz w:val="18"/>
        </w:rPr>
        <w:t xml:space="preserve">Kommunalwirtschaftliche Prüfungsverordnung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123 Abs. 1 der Gemeindeordnung (GO), Art. 109 Abs. 1 der Landkreisordnung und Art. 103 Abs. 1 der Bezirksordnung erläßt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KommPrV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