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KommPrV (Bayern) — Abschlußprüfung</w:t>
      </w:r>
    </w:p>
    <w:p>
      <w:r>
        <w:rPr>
          <w:color w:val="555555"/>
          <w:sz w:val="18"/>
        </w:rPr>
        <w:t xml:space="preserve">Kommunalwirtschaftliche Prüfungsverordnung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Abschlußprüfung wird grundsätzlich jährlich durchgeführt.</w:t>
      </w:r>
    </w:p>
    <w:p>
      <w:r>
        <w:t xml:space="preserve">(2) Der Abschlußprüfer ist rechtzeitig vor Ablauf des Wirtschaftsjahres zu bestellen, auf das sich seine Prüfungstätigkeit erstreckt.</w:t>
      </w:r>
    </w:p>
    <w:p>
      <w:r>
        <w:t xml:space="preserve">(3) § 319 Abs. 2 und 3 und § 323 des Handelsgesetzbuchs (HGB) sowie § 2 Abs. 2 dieser Verordnung gelten entsprechend.</w:t>
      </w:r>
    </w:p>
    <w:p>
      <w:r>
        <w:rPr>
          <w:color w:val="555555"/>
          <w:sz w:val="17"/>
        </w:rPr>
        <w:t xml:space="preserve">Zitiervorschlag: § 4 KommPrV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https://recht.nulegal.eu/gesetze/KommPrV/4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