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KommKredV (Bayern) — Inkrafttreten</w:t>
      </w:r>
    </w:p>
    <w:p>
      <w:r>
        <w:rPr>
          <w:color w:val="555555"/>
          <w:sz w:val="18"/>
        </w:rPr>
        <w:t xml:space="preserve">Verordnung über kreditähnliche kommunale Rechtsgeschäfte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1996 in Kraft.</w:t>
      </w:r>
    </w:p>
    <w:p>
      <w:r>
        <w:rPr>
          <w:color w:val="555555"/>
          <w:sz w:val="17"/>
        </w:rPr>
        <w:t xml:space="preserve">Zitiervorschlag: § 5 KommKredV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https://recht.nulegal.eu/gesetze/KommKredV/5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