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KommKredV (Bayern) — Genehmigungsfreiheit bei Stundung</w:t>
      </w:r>
    </w:p>
    <w:p>
      <w:r>
        <w:rPr>
          <w:color w:val="555555"/>
          <w:sz w:val="18"/>
        </w:rPr>
        <w:t xml:space="preserve">Verordnung über kreditähnliche kommunale Rechtsgeschäfte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Stundung von Zahlungsverpflichtungen der Gemeinden, der Landkreise, der Bezirke und der öffentlich-rechtlichen kommunalen Zusammenschlüsse ist genehmigungsfrei, wenn die Fälligkeit über das laufende Haushaltsjahr nicht hinausgeschoben wird.</w:t>
      </w:r>
    </w:p>
    <w:p>
      <w:r>
        <w:t xml:space="preserve">(2) Die Stundung von Zahlungsverpflichtungen der in Abs. 1 bezeichneten Körperschaften über das laufende Haushaltsjahr hinaus ist genehmigungsfrei, wenn und soweit der einzelne Stundungsfall folgende Beträge nicht überschreitet:</w:t>
      </w:r>
    </w:p>
    <w:p>
      <w:r>
        <w:t xml:space="preserve">– bis zu 7 000 Einwohnern</w:t>
      </w:r>
    </w:p>
    <w:p>
      <w:r>
        <w:t xml:space="preserve">50 000 €</w:t>
      </w:r>
    </w:p>
    <w:p>
      <w:r>
        <w:t xml:space="preserve">– mit mehr als 7 000 bis zu 20 000 Einwohnern</w:t>
      </w:r>
    </w:p>
    <w:p>
      <w:r>
        <w:t xml:space="preserve">150 000 €</w:t>
      </w:r>
    </w:p>
    <w:p>
      <w:r>
        <w:t xml:space="preserve">– mit mehr als 20 000 bis zu 50 000 Einwohnern</w:t>
      </w:r>
    </w:p>
    <w:p>
      <w:r>
        <w:t xml:space="preserve">500 000 €</w:t>
      </w:r>
    </w:p>
    <w:p>
      <w:r>
        <w:t xml:space="preserve">– mit mehr als 50 000 bis zu 300 000 Einwohnern</w:t>
      </w:r>
    </w:p>
    <w:p>
      <w:r>
        <w:t xml:space="preserve">1 000 000 €</w:t>
      </w:r>
    </w:p>
    <w:p>
      <w:r>
        <w:t xml:space="preserve">– mit mehr als 300 000 Einwohnern</w:t>
      </w:r>
    </w:p>
    <w:p>
      <w:r>
        <w:t xml:space="preserve">2 500 000 €</w:t>
      </w:r>
    </w:p>
    <w:p>
      <w:r>
        <w:t xml:space="preserve">– bei der Landeshauptstadt München</w:t>
      </w:r>
    </w:p>
    <w:p>
      <w:r>
        <w:t xml:space="preserve">5 000 000 €.</w:t>
      </w:r>
    </w:p>
    <w:p>
      <w:r>
        <w:t xml:space="preserve">Für Verwaltungsgemeinschaften und Zweckverbände gelten die halben Beträge, bezogen auf die Summe der Einwohnerzahlen der Mitgliedsgemeinden, höchstens jedoch 1 v. H. des Haushaltsvolumens.</w:t>
      </w:r>
    </w:p>
    <w:p>
      <w:r>
        <w:rPr>
          <w:color w:val="555555"/>
          <w:sz w:val="17"/>
        </w:rPr>
        <w:t xml:space="preserve">Zitiervorschlag: § 1 KommKredV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https://recht.nulegal.eu/gesetze/KommKredV/1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