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KommHzV (Brandenburg) — Inkrafttreten, Außerkrafttreten</w:t>
      </w:r>
    </w:p>
    <w:p>
      <w:r>
        <w:rPr>
          <w:color w:val="555555"/>
          <w:sz w:val="18"/>
        </w:rPr>
        <w:t xml:space="preserve">Kommunale Hoheitszeichenverordnung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 nach der Verkündung in Kraft. Gleichzeitig tritt die</w:t>
      </w:r>
    </w:p>
    <w:p>
      <w:r>
        <w:t xml:space="preserve">Kommunale Hoheitszeichenverordnung vom 6. September 2000 (GVBl. II S. 339) außer</w:t>
      </w:r>
    </w:p>
    <w:p>
      <w:r>
        <w:t xml:space="preserve">Kraft.</w:t>
      </w:r>
    </w:p>
    <w:p>
      <w:r>
        <w:t xml:space="preserve">Potsdam, den</w:t>
      </w:r>
    </w:p>
    <w:p>
      <w:r>
        <w:t xml:space="preserve">13. Februar 2009</w:t>
      </w:r>
    </w:p>
    <w:p>
      <w:r>
        <w:t xml:space="preserve">Der Minister des</w:t>
      </w:r>
    </w:p>
    <w:p>
      <w:r>
        <w:t xml:space="preserve">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7 KommHzV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