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KommHzV (Brandenburg) — Übergangsvorschrift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Bereits durch</w:t>
      </w:r>
    </w:p>
    <w:p>
      <w:r>
        <w:t xml:space="preserve">das Ministerium des Innern genehmigte Wappen, Flaggen und Dienstsiegel dürfen</w:t>
      </w:r>
    </w:p>
    <w:p>
      <w:r>
        <w:t xml:space="preserve">weiterhin geführt werden.</w:t>
      </w:r>
    </w:p>
    <w:p>
      <w:r>
        <w:rPr>
          <w:color w:val="555555"/>
          <w:sz w:val="17"/>
        </w:rPr>
        <w:t xml:space="preserve">Zitiervorschlag: § 6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