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KommHzV (Brandenburg) — Flaggen</w:t>
      </w:r>
    </w:p>
    <w:p>
      <w:r>
        <w:rPr>
          <w:color w:val="555555"/>
          <w:sz w:val="18"/>
        </w:rPr>
        <w:t xml:space="preserve">Kommunale Hoheitszeichenverordnung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Gemeinden, Ämter und Landkreise sind</w:t>
      </w:r>
    </w:p>
    <w:p>
      <w:r>
        <w:t xml:space="preserve">berechtigt, eine F lagge zu führen.</w:t>
      </w:r>
    </w:p>
    <w:p>
      <w:r>
        <w:t xml:space="preserve">(2) Für die</w:t>
      </w:r>
    </w:p>
    <w:p>
      <w:r>
        <w:t xml:space="preserve">Einführung oder Änderung von Flaggen gilt § 1 Absatz 3 und 4 entsprechend.</w:t>
      </w:r>
    </w:p>
    <w:p>
      <w:r>
        <w:t xml:space="preserve">(3) Als</w:t>
      </w:r>
    </w:p>
    <w:p>
      <w:r>
        <w:t xml:space="preserve">Flaggen können einfarbige Flaggen, Flaggen mit bis zu drei Streifen und gevierte</w:t>
      </w:r>
    </w:p>
    <w:p>
      <w:r>
        <w:t xml:space="preserve">Flaggen, jeweils als Wappenflagge, geführt werden. Die Farben der</w:t>
      </w:r>
    </w:p>
    <w:p>
      <w:r>
        <w:t xml:space="preserve">Flaggenstreifen müssen den Hauptfarben des Wappens entsprechen (Muster 7 bis 11). Abweichende Gestaltungen sind in begründeten Fällen zulässig.</w:t>
      </w:r>
    </w:p>
    <w:p>
      <w:r>
        <w:rPr>
          <w:color w:val="555555"/>
          <w:sz w:val="17"/>
        </w:rPr>
        <w:t xml:space="preserve">Zitiervorschlag: § 3 KommHzV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