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KommHzV (Brandenburg) — Verwendung des Wappens</w:t>
      </w:r>
    </w:p>
    <w:p>
      <w:r>
        <w:rPr>
          <w:color w:val="555555"/>
          <w:sz w:val="18"/>
        </w:rPr>
        <w:t xml:space="preserve">Kommunale Hoheitszeichenverordnung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Recht</w:t>
      </w:r>
    </w:p>
    <w:p>
      <w:r>
        <w:t xml:space="preserve">zur Führung eines Wappens umfasst unter anderem die Befugnis, das Wappen im</w:t>
      </w:r>
    </w:p>
    <w:p>
      <w:r>
        <w:t xml:space="preserve">Dienstsiegel, im Briefkopf, auf amtlichen Druckschriften, Urkunden, Zeugnissen</w:t>
      </w:r>
    </w:p>
    <w:p>
      <w:r>
        <w:t xml:space="preserve">sowie auf Amtsschildern und Dienstfahrzeugen zu verwenden.</w:t>
      </w:r>
    </w:p>
    <w:p>
      <w:r>
        <w:t xml:space="preserve">(2) Die</w:t>
      </w:r>
    </w:p>
    <w:p>
      <w:r>
        <w:t xml:space="preserve">Abbildung kommunaler Wappen zu künstlerischen und wissenschaftlichen Zwecken</w:t>
      </w:r>
    </w:p>
    <w:p>
      <w:r>
        <w:t xml:space="preserve">sowie zu Zwecken des Unterrichts und der staatsbürgerlichen Bildung ist</w:t>
      </w:r>
    </w:p>
    <w:p>
      <w:r>
        <w:t xml:space="preserve">jedermann erlaubt. Jede andere Verwendung bedarf der Genehmigung der</w:t>
      </w:r>
    </w:p>
    <w:p>
      <w:r>
        <w:t xml:space="preserve">wappenführenden Körperschaft.</w:t>
      </w:r>
    </w:p>
    <w:p>
      <w:r>
        <w:rPr>
          <w:color w:val="555555"/>
          <w:sz w:val="17"/>
        </w:rPr>
        <w:t xml:space="preserve">Zitiervorschlag: § 2 KommHzV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https://recht.nulegal.eu/gesetze/KommHzV/2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