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KommHzV (Brandenburg) — Wappen</w:t>
      </w:r>
    </w:p>
    <w:p>
      <w:r>
        <w:rPr>
          <w:color w:val="555555"/>
          <w:sz w:val="18"/>
        </w:rPr>
        <w:t xml:space="preserve">Kommunale Hoheitszeichenverordnung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Gemeinden, Ämter und Landkreise sind berechtigt, ein Wappen zu führen.</w:t>
      </w:r>
    </w:p>
    <w:p>
      <w:r>
        <w:t xml:space="preserve">(2) Für die</w:t>
      </w:r>
    </w:p>
    <w:p>
      <w:r>
        <w:t xml:space="preserve">Gestaltung eines Wappens sind die heraldischen Anforderungen maßgebend. Es soll</w:t>
      </w:r>
    </w:p>
    <w:p>
      <w:r>
        <w:t xml:space="preserve">Charakteristika der wappenführenden Körperschaft versinnbildlichen und muss</w:t>
      </w:r>
    </w:p>
    <w:p>
      <w:r>
        <w:t xml:space="preserve">sich von anderen kommunalen Wappen hinreichend unterscheiden.</w:t>
      </w:r>
    </w:p>
    <w:p>
      <w:r>
        <w:t xml:space="preserve">(3) Vor</w:t>
      </w:r>
    </w:p>
    <w:p>
      <w:r>
        <w:t xml:space="preserve">Einführung oder Änderung eines Wappens ist die Gemeinde, das Amt oder der</w:t>
      </w:r>
    </w:p>
    <w:p>
      <w:r>
        <w:t xml:space="preserve">Landkreis verpflichtet, durch das Brandenburgische Landeshauptarchiv ein</w:t>
      </w:r>
    </w:p>
    <w:p>
      <w:r>
        <w:t xml:space="preserve">Gutachten erstellen zu lassen. Soweit der Entwurf durch das Brandenburgische</w:t>
      </w:r>
    </w:p>
    <w:p>
      <w:r>
        <w:t xml:space="preserve">Landeshauptarchiv nicht befürwortet wird, ist er dem Ministerium des Innern zur</w:t>
      </w:r>
    </w:p>
    <w:p>
      <w:r>
        <w:t xml:space="preserve">Genehmigung vorzulegen. Als Unterlagen sind dem Brandenburgischen</w:t>
      </w:r>
    </w:p>
    <w:p>
      <w:r>
        <w:t xml:space="preserve">Landeshauptarchiv zu übermitteln:</w:t>
      </w:r>
    </w:p>
    <w:p>
      <w:r>
        <w:t xml:space="preserve">zwei farbige</w:t>
      </w:r>
    </w:p>
    <w:p>
      <w:r>
        <w:t xml:space="preserve">Reinzeichnungen (DIN-A4) oder eine qualitativ gleichwertige Bilddatei,</w:t>
      </w:r>
    </w:p>
    <w:p>
      <w:r>
        <w:t xml:space="preserve">eine</w:t>
      </w:r>
    </w:p>
    <w:p>
      <w:r>
        <w:t xml:space="preserve">Begründung des Wappenmotivs und</w:t>
      </w:r>
    </w:p>
    <w:p>
      <w:r>
        <w:t xml:space="preserve">der Beschluss</w:t>
      </w:r>
    </w:p>
    <w:p>
      <w:r>
        <w:t xml:space="preserve">der jeweiligen Vertretungskörperschaft zur Einführung oder Änderung des Wappens.</w:t>
      </w:r>
    </w:p>
    <w:p>
      <w:r>
        <w:t xml:space="preserve">(4) Die</w:t>
      </w:r>
    </w:p>
    <w:p>
      <w:r>
        <w:t xml:space="preserve">Einführung oder Änderung eines Wappens ist dem Ministerium des Innern durch</w:t>
      </w:r>
    </w:p>
    <w:p>
      <w:r>
        <w:t xml:space="preserve">eine farbige</w:t>
      </w:r>
    </w:p>
    <w:p>
      <w:r>
        <w:t xml:space="preserve">Reinzeichnung (DIN-A4) oder eine qualitativ gleichwertige Bilddatei,</w:t>
      </w:r>
    </w:p>
    <w:p>
      <w:r>
        <w:t xml:space="preserve">das Gutachten</w:t>
      </w:r>
    </w:p>
    <w:p>
      <w:r>
        <w:t xml:space="preserve">des Brandenburgischen Landeshauptarchivs und</w:t>
      </w:r>
    </w:p>
    <w:p>
      <w:r>
        <w:t xml:space="preserve">den Beschluss</w:t>
      </w:r>
    </w:p>
    <w:p>
      <w:r>
        <w:t xml:space="preserve">der jeweiligen Vertretungskörperschaft zur Einführung oder Änderung des Wappens</w:t>
      </w:r>
    </w:p>
    <w:p>
      <w:r>
        <w:t xml:space="preserve">anzuzeigen.</w:t>
      </w:r>
    </w:p>
    <w:p>
      <w:r>
        <w:rPr>
          <w:color w:val="555555"/>
          <w:sz w:val="17"/>
        </w:rPr>
        <w:t xml:space="preserve">Zitiervorschlag: § 1 KommHzV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