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KommHinwMeldG (Brandenburg) — Erleichterungen</w:t>
      </w:r>
    </w:p>
    <w:p>
      <w:r>
        <w:rPr>
          <w:color w:val="555555"/>
          <w:sz w:val="18"/>
        </w:rPr>
        <w:t xml:space="preserve">Kommunales Hinweisgebermeldestellengesetz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nach § 1 Absatz 1 Satz 1 und Absatz 2 einzurichtenden internen Meldestellen können gemeinsam oder von gemeinsamen Behördendiensten betrieben werden. Die Pflicht, Maßnahmen zu ergreifen, um den Verstoß abzustellen, verbleibt bei dem jeweils betroffenen Beschäftigungsgeber.</w:t>
      </w:r>
    </w:p>
    <w:p>
      <w:r>
        <w:rPr>
          <w:color w:val="555555"/>
          <w:sz w:val="17"/>
        </w:rPr>
        <w:t xml:space="preserve">Zitiervorschlag: § 3 KommHinwMeldG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https://recht.nulegal.eu/gesetze/KommHinwMeldG/3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