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KommHV-Doppik (Bayern) — Aufstellung der Eröffnungsbilanz</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Eröffnungsbilanz gelten die Grundsätze ordnungsgemäßer kommunaler Buchführung und die Regelungen dieser Verordnung, insbesondere für Inventur, Inventar (§ 70), Vermögensrechnung (§ 85) und Anhang (§ 86), sowie die dazu erlassenen Verwaltungsvorschriften entsprechend.</w:t>
      </w:r>
    </w:p>
    <w:p>
      <w:r>
        <w:t xml:space="preserve">(2) Die Eröffnungsbilanz und der Anhang sind so rechtzeitig aufzustellen, dass sie bis zum 30. November des ersten Haushaltsjahres, in dem das Rechnungswesen nach den Regeln der doppelten kommunalen Buchführung geführt wird, festgestellt werden können.</w:t>
      </w:r>
    </w:p>
    <w:p>
      <w:r>
        <w:rPr>
          <w:color w:val="555555"/>
          <w:sz w:val="17"/>
        </w:rPr>
        <w:t xml:space="preserve">Zitiervorschlag: § 91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