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KommHV-Doppik (Bayern) — Teilrechnungen, Planvergleich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Entsprechend den Teilhaushalten (§ 4) sind Teilrechnungen aufzustellen. §§ 82 und 83 gelten entsprechend.</w:t>
      </w:r>
    </w:p>
    <w:p>
      <w:r>
        <w:t xml:space="preserve">(2) In den Teilrechnungen sind die Ergebnisse der Teilhaushalte mit den Zielen und Kennzahlen nach § 4 Abs. 3 zu vergleichen.</w:t>
      </w:r>
    </w:p>
    <w:p>
      <w:r>
        <w:rPr>
          <w:color w:val="555555"/>
          <w:sz w:val="17"/>
        </w:rPr>
        <w:t xml:space="preserve">Zitiervorschlag: § 84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