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KommHV-Doppik (Bayern) — Nachtragshaushaltsplan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Nachtragshaushaltsplan muss alle erheblichen Änderungen der Erträge und Aufwendungen sowie Einzahlungen und Auszahlungen, die im Zeitpunkt seiner Aufstellung bereits geleistet, angeordnet oder absehbar sind, sowie die damit zusammenhängenden Änderungen der Ziele und Kennzahlen enthalten.</w:t>
      </w:r>
    </w:p>
    <w:p>
      <w:r>
        <w:t xml:space="preserve">(2) Enthält der Nachtragshaushaltsplan neue Verpflichtungsermächtigungen, sind deren Auswirkungen auf den mittelfristigen Finanzplan anzugeben; die Übersicht nach § 1 Abs. 3 Nr. 3 ist zu ergänzen.</w:t>
      </w:r>
    </w:p>
    <w:p>
      <w:r>
        <w:rPr>
          <w:color w:val="555555"/>
          <w:sz w:val="17"/>
        </w:rPr>
        <w:t xml:space="preserve">Zitiervorschlag: § 8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