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KommHV-Doppik (Bayern) — Abschreibungen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Vermögensgegenständen des Anlagevermögens, deren Nutzung zeitlich begrenzt ist, sind die Anschaffungs- oder Herstellungskosten um planmäßige Abschreibungen zu vermindern. Die planmäßige Abschreibung erfolgt grundsätzlich in gleichen Jahresraten über die Dauer, in der der Vermögensgegenstand voraussichtlich genutzt werden kann (lineare Abschreibung). Ausnahmsweise ist eine Abschreibung nach Maßgabe der Leistungsabgabe (Leistungsabschreibung) zulässig, wenn dies dem Nutzungsverlauf wesentlich besser entspricht. Maßgeblich ist die betriebsgewöhnliche Nutzungsdauer, die auf der Grundlage von Erfahrungswerten und unter Berücksichtigung von Beschaffenheit und Nutzung des Vermögensgegenstands zu bestimmen ist. Sachgesamtheiten (§ 3a Satz 1 Nr. 1 Buchst. b, Nr. 2) werden über eine einheitliche Nutzungsdauer abgeschrieben. Wird durch die Instandsetzung des Vermögensgegenstands eine Verlängerung der Nutzungsdauer erreicht, ist die Restnutzungsdauer auf Grund einer Schätzung neu zu bestimmen; entsprechend ist zu verfahren, wenn in Folge einer voraussichtlich dauernden Wertminderung eine Verkürzung eintritt.</w:t>
      </w:r>
    </w:p>
    <w:p>
      <w:r>
        <w:t xml:space="preserve">(2) Vermögensgegenstände nach Abs. 1 werden im Jahr der Anschaffung oder Herstellung und im Jahr des Abgangs ratierlich abgeschrieben. Die Abschreibung beginnt mit dem Monat der Anschaffung oder Herstellung und endet mit dem Monat des Abgangs. Die Regelungen über die Erfassung und Bewertung von Vermögensgegenständen bleiben unberührt.</w:t>
      </w:r>
    </w:p>
    <w:p>
      <w:r>
        <w:t xml:space="preserve">(3) Ohne Rücksicht darauf, ob ihre Nutzung zeitlich begrenzt ist, sind bei Vermögensgegenständen des Anlagevermögens im Fall einer voraussichtlich dauernden Wertminderung außerplanmäßige Abschreibungen vorzunehmen, um die Vermögensgegenstände mit dem niedrigeren Wert anzusetzen, der ihnen am Abschlussstichtag beizulegen ist. Stellt sich in einem späteren Jahr heraus, dass die Gründe für die Abschreibung nicht mehr bestehen, ist der Betrag dieser Abschreibung im Umfang der Werterhöhung unter Berücksichtigung der Abschreibungen, die inzwischen vorzunehmen gewesen wären, zuzuschreiben.</w:t>
      </w:r>
    </w:p>
    <w:p>
      <w:r>
        <w:t xml:space="preserve">(4) Bei Vermögensgegenständen des Umlaufvermögens sind Abschreibungen vorzunehmen, um diese mit einem niedrigeren Wert anzusetzen, der sich aus einem Börsen- oder Marktpreis am Abschlussstichtag ergibt. Ist ein Börsen- oder Marktpreis nicht festzustellen, und übersteigen die Anschaffungs- oder Herstellungskosten den Wert, der den Vermögensgegenständen beizulegen ist, so ist auf diesen Wert abzuschreiben. Abs. 3 Satz 2 gilt entsprechend.</w:t>
      </w:r>
    </w:p>
    <w:p>
      <w:r>
        <w:rPr>
          <w:color w:val="555555"/>
          <w:sz w:val="17"/>
        </w:rPr>
        <w:t xml:space="preserve">Zitiervorschlag: § 79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