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KommHV-Doppik (Bayern) — Allgemeine Bewertungsgrundsätze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Bewertung der Vermögensgegenstände und Schulden gilt Folgendes:</w:t>
      </w:r>
    </w:p>
    <w:p>
      <w:r>
        <w:t xml:space="preserve">1. Die Wertansätze in der Eröffnungsbilanz des Haushaltsjahres müssen mit denen der Schlussbilanz des Vorjahres übereinstimmen.</w:t>
      </w:r>
    </w:p>
    <w:p>
      <w:r>
        <w:t xml:space="preserve">2. Die Vermögensgegenstände und Schulden sind zum Abschlussstichtag einzeln zu bewerten.</w:t>
      </w:r>
    </w:p>
    <w:p>
      <w:r>
        <w:t xml:space="preserve">3. Vorhersehbare Risiken und Verluste, die bis zum Abschlussstichtag entstanden sind, sind zu berücksichtigen, selbst wenn diese erst zwischen dem Abschlussstichtag und dem Tag der Aufstellung des Jahresabschlusses bekannt geworden sind; Risiken und Verluste, für deren Verwirklichung im Hinblick auf die besonderen Verhältnisse der öffentlichen Haushaltswirtschaft nur eine geringe Wahrscheinlichkeit spricht, bleiben außer Betracht. Gewinne sind nur zu berücksichtigen, wenn sie am Abschlussstichtag realisiert sind.</w:t>
      </w:r>
    </w:p>
    <w:p>
      <w:r>
        <w:t xml:space="preserve">4. Aufwendungen und Erträge des Haushaltsjahres sind unabhängig von den Zeitpunkten der entsprechenden Zahlungen im Jahresabschluss zu berücksichtigen.</w:t>
      </w:r>
    </w:p>
    <w:p>
      <w:r>
        <w:t xml:space="preserve">5. Die auf den vorhergehenden Jahresabschluss angewandten Bewertungsmethoden sollen beibehalten werden.</w:t>
      </w:r>
    </w:p>
    <w:p>
      <w:r>
        <w:rPr>
          <w:color w:val="555555"/>
          <w:sz w:val="17"/>
        </w:rPr>
        <w:t xml:space="preserve">Zitiervorschlag: § 76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