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KommHV-Doppik (Bayern) — Sonderposten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Sonderposten sind zu bilden</w:t>
      </w:r>
    </w:p>
    <w:p>
      <w:r>
        <w:t xml:space="preserve">1. für ertragswirksam aufzulösende Zuwendungen,</w:t>
      </w:r>
    </w:p>
    <w:p>
      <w:r>
        <w:t xml:space="preserve">2. soweit sich Mehreinnahmen infolge einer Kostenüberdeckung bei der Gebührenbemessung kostenrechnender Einrichtungen ergeben,</w:t>
      </w:r>
    </w:p>
    <w:p>
      <w:r>
        <w:t xml:space="preserve">3. für die jeweilige kostenrechnende Einrichtung für Mehrerlöse, die sich aus einer Abschreibung von Wiederbeschaffungszeitwerten gegenüber einer Abschreibung von Anschaffungs- und Herstellungskosten oder dadurch ergeben, dass Zuwendungen nicht in Abzug gebracht werden, einschließlich einer angemessenen Verzinsung, sowie</w:t>
      </w:r>
    </w:p>
    <w:p>
      <w:r>
        <w:t xml:space="preserve">4. für Beiträge und ähnliche Entgelte.</w:t>
      </w:r>
    </w:p>
    <w:p>
      <w:r>
        <w:rPr>
          <w:color w:val="555555"/>
          <w:sz w:val="17"/>
        </w:rPr>
        <w:t xml:space="preserve">Zitiervorschlag: § 73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https://recht.nulegal.eu/gesetze/KommHV-Doppik/73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