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72 KommHV-Doppik (Bayern) — Vollständigkeit der Ansätze, Verrechnungs- und Bilanzierungsverbote, Vermögen</w:t>
      </w:r>
    </w:p>
    <w:p>
      <w:r>
        <w:rPr>
          <w:color w:val="555555"/>
          <w:sz w:val="18"/>
        </w:rPr>
        <w:t xml:space="preserve">Kommunalhaushaltsverordnung-Doppik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In der Vermögensrechnung (Bilanz) sind das Anlagevermögen, das Umlaufvermögen, das Eigenkapital, die Sonderposten, die Rückstellungen und die Verbindlichkeiten sowie die Rechnungsabgrenzungsposten vollständig auszuweisen und entsprechend § 85 zu gliedern. § 80 Abs. 5 ist zu beachten.</w:t>
      </w:r>
    </w:p>
    <w:p>
      <w:r>
        <w:t xml:space="preserve">(2) Posten der Aktivseite dürfen nicht mit Posten der Passivseite, Aufwendungen nicht mit Erträgen, Einzahlungen nicht mit Auszahlungen, Grundstücksrechte nicht mit Grundstückslasten verrechnet werden.</w:t>
      </w:r>
    </w:p>
    <w:p>
      <w:r>
        <w:t xml:space="preserve">(3) An Dritte geleistete Zuwendungen für Investitionen und Investitionsförderungsmaßnahmen, die bei der Kommune immaterielle Vermögensgegenstände begründen, sind zu aktivieren.</w:t>
      </w:r>
    </w:p>
    <w:p>
      <w:r>
        <w:t xml:space="preserve">(4) Für immaterielle Vermögensgegenstände des Anlagevermögens, die nicht entgeltlich erworben wurden, darf ein Aktivposten nicht angesetzt werden.</w:t>
      </w:r>
    </w:p>
    <w:p>
      <w:r>
        <w:rPr>
          <w:color w:val="555555"/>
          <w:sz w:val="17"/>
        </w:rPr>
        <w:t xml:space="preserve">Zitiervorschlag: § 72 KommHV-Doppik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https://recht.nulegal.eu/gesetze/KommHV-Doppik/72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