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KommHV-Doppik (Bayern) — Inventurvereinfachungsverfahren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Aufstellung des Inventars darf der Bestand der Vermögensgegenstände nach Art, Menge und Wert auch mit Hilfe anerkannter mathematisch-statistischer Methoden auf Grund von Stichproben ermittelt werden. Das Verfahren muss den Grundsätzen ordnungsmäßiger kommunaler Buchführung entsprechen. Der Aussagewert des auf diese Weise aufgestellten Inventars muss dem Aussagewert eines auf Grund einer körperlichen Bestandsaufnahme aufgestellten Inventars gleichkommen.</w:t>
      </w:r>
    </w:p>
    <w:p>
      <w:r>
        <w:t xml:space="preserve">(2) Bei der Aufstellung des Inventars für den Schluss eines Haushaltsjahres bedarf es einer körperlichen Bestandsaufnahme der Vermögensgegenstände für diesen Zeitpunkt nicht, soweit durch Anwendung eines den Grundsätzen ordnungsmäßiger kommunaler Buchführung entsprechenden anderen Verfahrens gesichert ist, dass der Bestand der Vermögensgegenstände nach Art, Menge und Wert auch ohne die körperliche Bestandsaufnahme für diesen Zeitpunkt festgestellt werden kann.</w:t>
      </w:r>
    </w:p>
    <w:p>
      <w:r>
        <w:t xml:space="preserve">(3) In dem Inventar für den Schluss eines Haushaltsjahres brauchen Vermögensgegenstände nicht verzeichnet zu werden, wenn</w:t>
      </w:r>
    </w:p>
    <w:p>
      <w:r>
        <w:t xml:space="preserve">1. ihr Bestand auf Grund einer körperlichen Bestandsaufnahme oder auf Grund eines nach Abs. 2 zulässigen anderen Verfahrens nach Art, Menge und Wert in einem besonderen Inventar verzeichnet ist, das für einen Tag innerhalb der letzten drei Monate vor oder der ersten beiden Monate nach dem Schluss des Haushaltsjahres aufgestellt ist, und</w:t>
      </w:r>
    </w:p>
    <w:p>
      <w:r>
        <w:t xml:space="preserve">2. auf Grund des besonderen Inventars durch Anwendung eines den Grundsätzen ordnungsmäßiger kommunaler Buchführung entsprechenden Fortschreibungs- oder Rückrechnungsverfahrens gesichert ist, dass der am Schluss des Haushaltsjahres vorhandene Bestand der Vermögensgegenstände für diesen Zeitpunkt ordnungsgemäß bewertet werden kann.</w:t>
      </w:r>
    </w:p>
    <w:p>
      <w:r>
        <w:t xml:space="preserve">(4) Auf eine Erfassung von beweglichen und immateriellen Vermögensgegenständen des Anlagevermögens, deren Anschaffungs- und Herstellungskosten im Einzelfall oder für die Sachgesamtheit wertmäßig die Abschreibungsgrenze für geringwertige Wirtschaftsgüter nicht überschreiten, kann durch Dienstanweisung verzichtet werden. § 3a bleibt unberührt.</w:t>
      </w:r>
    </w:p>
    <w:p>
      <w:r>
        <w:t xml:space="preserve">(5) Sofern Vorratsbestände von Roh-, Hilfs- und Betriebsstoffen, Waren sowie unfertige und fertige Erzeugnisse bereits aus Lagern abgegeben worden sind, gelten sie als verbraucht.</w:t>
      </w:r>
    </w:p>
    <w:p>
      <w:r>
        <w:rPr>
          <w:color w:val="555555"/>
          <w:sz w:val="17"/>
        </w:rPr>
        <w:t xml:space="preserve">Zitiervorschlag: § 71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