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KommHV-Doppik (Bayern) — Inventur, Inventar</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Zu Beginn des ersten Haushaltsjahres mit einer Rechnungsführung nach den Regeln der doppelten kommunalen Buchführung und danach für den Schluss eines jeden Haushaltsjahres sind Anlagevermögen, Umlaufvermögen, Sonderposten, Rückstellungen, Verbindlichkeiten und Rechnungsabgrenzungsposten zu erfassen (Inventur), genau zu verzeichnen und mit ihrem Wert anzugeben (Inventar). Körperliche Vermögensgegenstände sind durch eine körperliche Bestandsaufnahme zu erfassen, soweit in dieser Verordnung nichts anderes bestimmt ist. Das Inventar ist innerhalb der einem ordnungsmäßigen Geschäftsgang entsprechenden Zeit aufzustellen.</w:t>
      </w:r>
    </w:p>
    <w:p>
      <w:r>
        <w:t xml:space="preserve">(2) Vermögensgegenstände des Sachanlagevermögens sowie Roh-, Hilfs- und Betriebsstoffe können, wenn sie regelmäßig ersetzt werden und ihr Gesamtwert von nachrangiger Bedeutung ist, mit einer gleichbleibenden Menge und einem gleichbleibenden Wert angesetzt werden, sofern ihr Bestand in seiner Größe, seinem Wert und seiner Zusammensetzung nur geringen Veränderungen unterliegt. Jedoch ist in der Regel alle drei Jahre eine körperliche Bestandsaufnahme durchzuführen.</w:t>
      </w:r>
    </w:p>
    <w:p>
      <w:r>
        <w:t xml:space="preserve">(3) Gleichartige Vermögensgegenstände des Vorratsvermögens sowie andere gleichartige oder annähernd gleichwertige bewegliche Vermögensgegenstände und Schulden können jeweils zu einer Gruppe zusammengefasst und mit dem gewogenen Durchschnittswert angesetzt werden.</w:t>
      </w:r>
    </w:p>
    <w:p>
      <w:r>
        <w:t xml:space="preserve">(4) Das Verfahren und die Ergebnisse der Inventur sind so zu dokumentieren, dass sie für sachverständige Dritte nachvollziehbar sind.</w:t>
      </w:r>
    </w:p>
    <w:p>
      <w:r>
        <w:rPr>
          <w:color w:val="555555"/>
          <w:sz w:val="17"/>
        </w:rPr>
        <w:t xml:space="preserve">Zitiervorschlag: § 70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