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KommHV-Doppik (Bayern) — Absetzungen von Einzahlungen und Auszahlungen</w:t>
      </w:r>
    </w:p>
    <w:p>
      <w:r>
        <w:rPr>
          <w:color w:val="555555"/>
          <w:sz w:val="18"/>
        </w:rPr>
        <w:t xml:space="preserve">Kommunalhaushaltsverordnung-Doppik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Abgaben, abgabeähnliche Entgelte und allgemeine Zuweisungen ist § 16 Abs. 1 auch bei der Buchung anzuwenden.</w:t>
      </w:r>
    </w:p>
    <w:p>
      <w:r>
        <w:rPr>
          <w:color w:val="555555"/>
          <w:sz w:val="17"/>
        </w:rPr>
        <w:t xml:space="preserve">Zitiervorschlag: § 66 KommHV-Doppik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https://recht.nulegal.eu/gesetze/KommHV-Doppik/66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