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KommHV-Doppik (Bayern) — Sachlicher Nachweis</w:t>
      </w:r>
    </w:p>
    <w:p>
      <w:r>
        <w:rPr>
          <w:color w:val="555555"/>
          <w:sz w:val="18"/>
        </w:rPr>
        <w:t xml:space="preserve">Kommunalhaushaltsverordnung-Doppik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sachlichen Nachweis sind die Vorgänge nach der Ordnung des Jahresabschlusses zu buchen. Der sachliche Nachweis enthält die für die Aufstellung der Ergebnisrechnung, der Finanzrechnung und der Vermögensrechnung erforderlichen Sachkonten.</w:t>
      </w:r>
    </w:p>
    <w:p>
      <w:r>
        <w:t xml:space="preserve">(2) Die Ordnung für die Buchung wird durch Dienstanweisung bestimmt, soweit das Staatsministerium des Innern, für Sport und Integration keine verbindlichen Muster bekannt gegeben hat.</w:t>
      </w:r>
    </w:p>
    <w:p>
      <w:r>
        <w:t xml:space="preserve">(3) Der sachliche Nachweis umfasst mindestens</w:t>
      </w:r>
    </w:p>
    <w:p>
      <w:r>
        <w:t xml:space="preserve">1. die Belegnummer,</w:t>
      </w:r>
    </w:p>
    <w:p>
      <w:r>
        <w:t xml:space="preserve">2. den Buchungstag,</w:t>
      </w:r>
    </w:p>
    <w:p>
      <w:r>
        <w:t xml:space="preserve">3. einen Hinweis, der die Verbindung mit dem zeitlichen Nachweis (§ 61 Abs. 1) und dem Gegenkonto herstellt,</w:t>
      </w:r>
    </w:p>
    <w:p>
      <w:r>
        <w:t xml:space="preserve">4. den Betrag.</w:t>
      </w:r>
    </w:p>
    <w:p>
      <w:r>
        <w:rPr>
          <w:color w:val="555555"/>
          <w:sz w:val="17"/>
        </w:rPr>
        <w:t xml:space="preserve">Zitiervorschlag: § 63 KommHV-Doppik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https://recht.nulegal.eu/gesetze/KommHV-Doppik/63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