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KommHV-Doppik (Bayern) — Zeitlicher Nachweis</w:t>
      </w:r>
    </w:p>
    <w:p>
      <w:r>
        <w:rPr>
          <w:color w:val="555555"/>
          <w:sz w:val="18"/>
        </w:rPr>
        <w:t xml:space="preserve">Kommunalhaushaltsverordnung-Doppik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Vorgänge sind einzeln und getrennt voneinander oder nach Abs. 2 in Summen zusammengefasst zu buchen. Die Buchung umfasst mindestens</w:t>
      </w:r>
    </w:p>
    <w:p>
      <w:r>
        <w:t xml:space="preserve">1. die laufende Nummer,</w:t>
      </w:r>
    </w:p>
    <w:p>
      <w:r>
        <w:t xml:space="preserve">2. den Buchungstag,</w:t>
      </w:r>
    </w:p>
    <w:p>
      <w:r>
        <w:t xml:space="preserve">3. einen Hinweis, der die Verbindung mit dem sachlichen Nachweis (§ 63 Abs. 3) herstellt,</w:t>
      </w:r>
    </w:p>
    <w:p>
      <w:r>
        <w:t xml:space="preserve">4. den Betrag.</w:t>
      </w:r>
    </w:p>
    <w:p>
      <w:r>
        <w:t xml:space="preserve">Gebuchte Beträge dürfen nach dem Tagesabgleich nicht mehr geändert werden.</w:t>
      </w:r>
    </w:p>
    <w:p>
      <w:r>
        <w:t xml:space="preserve">(2) Es können mehrere Beträge auf Grund von Zusammenstellungen von Belegen zusammengefasst gebucht werden. Die Zusammenstellungen sind als Belege zum zeitlichen Nachweis aufzubewahren.</w:t>
      </w:r>
    </w:p>
    <w:p>
      <w:r>
        <w:rPr>
          <w:color w:val="555555"/>
          <w:sz w:val="17"/>
        </w:rPr>
        <w:t xml:space="preserve">Zitiervorschlag: § 61 KommHV-Doppik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https://recht.nulegal.eu/gesetze/KommHV-Doppik/61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