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60 KommHV-Doppik (Bayern) — Zeitlicher und sachlicher Nachweis der Buchung</w:t>
      </w:r>
    </w:p>
    <w:p>
      <w:r>
        <w:rPr>
          <w:color w:val="555555"/>
          <w:sz w:val="18"/>
        </w:rPr>
        <w:t xml:space="preserve">Kommunalhaushaltsverordnung-Doppik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Sämtliche buchführungspflichtigen Vorgänge müssen in zeitlicher und sachlicher Hinsicht nachweisbar sein.</w:t>
      </w:r>
    </w:p>
    <w:p>
      <w:r>
        <w:t xml:space="preserve">(2) Die eingerichteten Konten sind in einem Kontenplan aufzuführen, die den Produktgruppen zugeordneten Produkte in einem Produktplan.</w:t>
      </w:r>
    </w:p>
    <w:p>
      <w:r>
        <w:t xml:space="preserve">(3) Die Buchführung muss Auswertungen nach der Haushaltsgliederung, nach dem vom Staatsministerium des Innern, für Sport und Integration bekannt gegebenen Produktrahmenplan, nach der sachlichen Ordnung sowie in zeitlicher Ordnung zulassen.</w:t>
      </w:r>
    </w:p>
    <w:p>
      <w:r>
        <w:rPr>
          <w:color w:val="555555"/>
          <w:sz w:val="17"/>
        </w:rPr>
        <w:t xml:space="preserve">Zitiervorschlag: § 60 KommHV-Doppik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https://recht.nulegal.eu/gesetze/KommHV-Doppik/60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