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KommHV-Doppik (Bayern) — Form und Sicherung der Bücher</w:t>
      </w:r>
    </w:p>
    <w:p>
      <w:r>
        <w:rPr>
          <w:color w:val="555555"/>
          <w:sz w:val="18"/>
        </w:rPr>
        <w:t xml:space="preserve">Kommunalhaushaltsverordnung-Doppik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Bücher können mit Hilfe automatisierter Verfahren oder in visuell lesbarer Form (gebunden, geheftet, in Loseblatt- oder Karteiform) geführt werden. Durch Dienstanweisung wird die Form der Buchführung und die Sicherung des Buchungsverfahrens geregelt. Die Bücher sind durch geeignete Maßnahmen gegen Verlust, Wegnahme und Veränderungen zu schützen.</w:t>
      </w:r>
    </w:p>
    <w:p>
      <w:r>
        <w:t xml:space="preserve">(2) Bei visuell lesbarer Buchführung sind die Eintragungen urkundenecht vorzunehmen. Sie dürfen nur zur Berichtigung von Schreib- und Rechenfehlern und sonstigen offensichtlichen Unrichtigkeiten geändert werden. Änderungen müssen so vorgenommen werden, dass die ursprüngliche Eintragung lesbar bleibt.</w:t>
      </w:r>
    </w:p>
    <w:p>
      <w:r>
        <w:rPr>
          <w:color w:val="555555"/>
          <w:sz w:val="17"/>
        </w:rPr>
        <w:t xml:space="preserve">Zitiervorschlag: § 58 KommHV-Doppik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https://recht.nulegal.eu/gesetze/KommHV-Doppik/58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