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KommHV-Doppik (Bayern) — Verwahrung von Wertgegenständen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Urkunden, die Vermögensrechte verbriefen oder nachweisen, sind von der Kasse zu verwahren. Das gleiche gilt für Kostenmarken, andere Wertzeichen mit Ausnahme von Postwertzeichen und für geldwerte Drucksachen, die nach § 47 Abs. 1 Satz 2 ohne Quittung abgegeben werden. Wertpapiere sollen einem Kreditinstitut gegen Depotschein zur Verwahrung und Verwaltung übergeben werden.</w:t>
      </w:r>
    </w:p>
    <w:p>
      <w:r>
        <w:t xml:space="preserve">(2) Über die Annahme und Auslieferung der zu verwahrenden Wertgegenstände ist Buch zu führen. Die Annahme und Auslieferung sind zu quittieren. § 43 Abs. 2 und 3, § 54 Abs. 1, §§ 57 und 58 gelten entsprechend.</w:t>
      </w:r>
    </w:p>
    <w:p>
      <w:r>
        <w:t xml:space="preserve">(3) Verwahrt die Kasse Wertpapiere, hat sie die Auslosung und Kündigung sowie die Zinstermine zu überwachen und die sonstigen Aufgaben des Verwahrers nach dem Depotgesetz wahrzunehmen.</w:t>
      </w:r>
    </w:p>
    <w:p>
      <w:r>
        <w:t xml:space="preserve">(4) Durch Dienstanweisung kann eine andere Dienststelle mit der Verwahrung und Buchführung beauftragt werden.</w:t>
      </w:r>
    </w:p>
    <w:p>
      <w:r>
        <w:rPr>
          <w:color w:val="555555"/>
          <w:sz w:val="17"/>
        </w:rPr>
        <w:t xml:space="preserve">Zitiervorschlag: § 55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