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KommHV-Doppik (Bayern) — Aufbewahrung und Beförderung von Zahlungsmitteln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Zahlungsmittel und Vordrucke für Schecks und Überweisungsaufträge sind sicher aufzubewahren. Durch Dienstanweisung wird bestimmt, welche Sicherheitsvorkehrungen für die Aufbewahrung sowie für die Beförderung von Zahlungsmitteln zu treffen sind.</w:t>
      </w:r>
    </w:p>
    <w:p>
      <w:r>
        <w:t xml:space="preserve">(2) Die Kasse darf Zahlungsmittel, die nicht zum Kassenbestand gehören, und Gegenstände, die ihr nicht zur Verwahrung zugewiesen sind, nicht im Kassenbehälter aufbewahren.</w:t>
      </w:r>
    </w:p>
    <w:p>
      <w:r>
        <w:rPr>
          <w:color w:val="555555"/>
          <w:sz w:val="17"/>
        </w:rPr>
        <w:t xml:space="preserve">Zitiervorschlag: § 54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