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KommHV-Doppik (Bayern) — Verwaltung der Kassenmittel</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Kasse hat darauf zu achten, dass die für die Auszahlungen erforderlichen Kassenmittel rechtzeitig verfügbar sind (Liquiditätsplanung). Der Bestand an Bargeld und die Guthaben auf den für den Zahlungsverkehr bei Kreditinstituten errichteten Konten sind auf den für Zahlungen notwendigen Umfang zu beschränken. Vorübergehend nicht benötigte Kassenmittel sind so anzulegen, dass sie bei Bedarf verfügbar sind. Die Bewirtschaftung des Kassenbestands wird durch Dienstanweisung geregelt.</w:t>
      </w:r>
    </w:p>
    <w:p>
      <w:r>
        <w:t xml:space="preserve">(2) Die anordnenden Stellen haben die Kasse unverzüglich zu unterrichten, wenn mit größeren Ein- oder Auszahlungen zu rechnen ist.</w:t>
      </w:r>
    </w:p>
    <w:p>
      <w:r>
        <w:t xml:space="preserve">(3) Soweit für die Kasse keine anderen Mittel zur Verfügung stehen, können zur Sicherung der Liquidität Kassenkredite aufgenommen werden. Sobald Kassenkredite erforderlich sind, hat der Kassenverwalter dem hierfür zuständigen Vorgesetzten so rechtzeitig Mitteilung zu machen, dass er für eine fristgemäße Bereitstellung der Mittel sorgen kann. Der Kassenverwalter hat darauf hinzuwirken, dass die Kassenkredite bald abgewickelt werden können.</w:t>
      </w:r>
    </w:p>
    <w:p>
      <w:r>
        <w:rPr>
          <w:color w:val="555555"/>
          <w:sz w:val="17"/>
        </w:rPr>
        <w:t xml:space="preserve">Zitiervorschlag: § 53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