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KommHV-Doppik (Bayern) — Auszahlungen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Kasse hat die Auszahlungen zu den Fälligkeitstagen zu leisten. Sie soll Forderungen des Empfangsberechtigten gegen eigene Forderungen aufrechnen.</w:t>
      </w:r>
    </w:p>
    <w:p>
      <w:r>
        <w:t xml:space="preserve">(2) Auszahlungen für Rechnung einer anderen Stelle sollen nur insoweit geleistet werden, als Kassenmittel aus Einzahlungen für diese Stelle oder aus deren Beständen zur Verfügung stehen.</w:t>
      </w:r>
    </w:p>
    <w:p>
      <w:r>
        <w:rPr>
          <w:color w:val="555555"/>
          <w:sz w:val="17"/>
        </w:rPr>
        <w:t xml:space="preserve">Zitiervorschlag: § 49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